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AC1E" w14:textId="38CEEC6D" w:rsidR="00910F3F" w:rsidRPr="00910F3F" w:rsidRDefault="00D477A1" w:rsidP="00910F3F">
      <w:pPr>
        <w:jc w:val="right"/>
        <w:rPr>
          <w:rFonts w:ascii="Arial" w:hAnsi="Arial" w:cs="Arial"/>
          <w:b/>
          <w:bCs/>
          <w:sz w:val="32"/>
          <w:szCs w:val="32"/>
        </w:rPr>
      </w:pPr>
      <w:r>
        <w:rPr>
          <w:b/>
          <w:noProof/>
          <w:lang w:val="en-US"/>
        </w:rPr>
        <w:drawing>
          <wp:anchor distT="0" distB="0" distL="114300" distR="114300" simplePos="0" relativeHeight="251661312" behindDoc="0" locked="0" layoutInCell="1" allowOverlap="1" wp14:anchorId="09723B42" wp14:editId="53C2888D">
            <wp:simplePos x="0" y="0"/>
            <wp:positionH relativeFrom="margin">
              <wp:posOffset>-36830</wp:posOffset>
            </wp:positionH>
            <wp:positionV relativeFrom="page">
              <wp:posOffset>170180</wp:posOffset>
            </wp:positionV>
            <wp:extent cx="662940" cy="633095"/>
            <wp:effectExtent l="0" t="0" r="3810" b="0"/>
            <wp:wrapNone/>
            <wp:docPr id="1804557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10273" name="Picture 1692510273"/>
                    <pic:cNvPicPr/>
                  </pic:nvPicPr>
                  <pic:blipFill>
                    <a:blip r:embed="rId7"/>
                    <a:stretch>
                      <a:fillRect/>
                    </a:stretch>
                  </pic:blipFill>
                  <pic:spPr>
                    <a:xfrm>
                      <a:off x="0" y="0"/>
                      <a:ext cx="662940" cy="633095"/>
                    </a:xfrm>
                    <a:prstGeom prst="rect">
                      <a:avLst/>
                    </a:prstGeom>
                  </pic:spPr>
                </pic:pic>
              </a:graphicData>
            </a:graphic>
          </wp:anchor>
        </w:drawing>
      </w:r>
      <w:r w:rsidR="00E60366" w:rsidRPr="00910F3F">
        <w:rPr>
          <w:rFonts w:ascii="Arial" w:hAnsi="Arial" w:cs="Arial"/>
          <w:b/>
          <w:bCs/>
          <w:noProof/>
          <w:sz w:val="44"/>
          <w:szCs w:val="44"/>
        </w:rPr>
        <mc:AlternateContent>
          <mc:Choice Requires="wpg">
            <w:drawing>
              <wp:anchor distT="0" distB="0" distL="114300" distR="114300" simplePos="0" relativeHeight="251659264" behindDoc="0" locked="0" layoutInCell="1" allowOverlap="1" wp14:anchorId="24F0F52F" wp14:editId="1A483E0F">
                <wp:simplePos x="0" y="0"/>
                <wp:positionH relativeFrom="margin">
                  <wp:posOffset>-6350</wp:posOffset>
                </wp:positionH>
                <wp:positionV relativeFrom="paragraph">
                  <wp:posOffset>356235</wp:posOffset>
                </wp:positionV>
                <wp:extent cx="6304915" cy="45085"/>
                <wp:effectExtent l="0" t="0" r="635" b="0"/>
                <wp:wrapSquare wrapText="bothSides"/>
                <wp:docPr id="1007609502" name="Group 1007609502"/>
                <wp:cNvGraphicFramePr/>
                <a:graphic xmlns:a="http://schemas.openxmlformats.org/drawingml/2006/main">
                  <a:graphicData uri="http://schemas.microsoft.com/office/word/2010/wordprocessingGroup">
                    <wpg:wgp>
                      <wpg:cNvGrpSpPr/>
                      <wpg:grpSpPr>
                        <a:xfrm>
                          <a:off x="0" y="0"/>
                          <a:ext cx="6304915" cy="45085"/>
                          <a:chOff x="0" y="0"/>
                          <a:chExt cx="6876892" cy="45719"/>
                        </a:xfrm>
                      </wpg:grpSpPr>
                      <pic:pic xmlns:pic="http://schemas.openxmlformats.org/drawingml/2006/picture">
                        <pic:nvPicPr>
                          <pic:cNvPr id="713123340" name="Picture 71312334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4583907" y="0"/>
                            <a:ext cx="2292985" cy="45085"/>
                          </a:xfrm>
                          <a:prstGeom prst="rect">
                            <a:avLst/>
                          </a:prstGeom>
                          <a:solidFill>
                            <a:srgbClr val="006C84"/>
                          </a:solidFill>
                        </pic:spPr>
                      </pic:pic>
                      <wps:wsp>
                        <wps:cNvPr id="37540499" name="Rectangle 37540499"/>
                        <wps:cNvSpPr/>
                        <wps:spPr>
                          <a:xfrm>
                            <a:off x="0" y="0"/>
                            <a:ext cx="2297906" cy="45719"/>
                          </a:xfrm>
                          <a:prstGeom prst="rect">
                            <a:avLst/>
                          </a:prstGeom>
                          <a:solidFill>
                            <a:srgbClr val="006C8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450426" name="Rectangle 1815450426"/>
                        <wps:cNvSpPr/>
                        <wps:spPr>
                          <a:xfrm>
                            <a:off x="2297907" y="0"/>
                            <a:ext cx="2286000" cy="45719"/>
                          </a:xfrm>
                          <a:prstGeom prst="rect">
                            <a:avLst/>
                          </a:prstGeom>
                          <a:solidFill>
                            <a:srgbClr val="84002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6620DE" id="Group 1007609502" o:spid="_x0000_s1026" style="position:absolute;margin-left:-.5pt;margin-top:28.05pt;width:496.45pt;height:3.55pt;z-index:251659264;mso-position-horizontal-relative:margin;mso-width-relative:margin;mso-height-relative:margin" coordsize="68768,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3123340" o:spid="_x0000_s1027" type="#_x0000_t75" style="position:absolute;left:45839;width:22929;height:45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" filled="t" fillcolor="#006c84">
                  <v:imagedata r:id="rId9" o:title=""/>
                </v:shape>
                <v:rect id="Rectangle 37540499" o:spid="_x0000_s1028" style="position:absolute;width:2297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" fillcolor="#006c84" stroked="f" strokeweight="2pt"/>
                <v:rect id="Rectangle 1815450426" o:spid="_x0000_s1029" style="position:absolute;left:22979;width:2286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" fillcolor="#84002a" stroked="f" strokeweight="2pt"/>
                <w10:wrap type="square" anchorx="margin"/>
              </v:group>
            </w:pict>
          </mc:Fallback>
        </mc:AlternateContent>
      </w:r>
      <w:r w:rsidR="00456ED8">
        <w:rPr>
          <w:rFonts w:ascii="Arial" w:hAnsi="Arial" w:cs="Arial"/>
          <w:b/>
          <w:bCs/>
          <w:sz w:val="32"/>
          <w:szCs w:val="32"/>
        </w:rPr>
        <w:t>Media Release</w:t>
      </w:r>
      <w:r w:rsidR="00E60366">
        <w:rPr>
          <w:rFonts w:ascii="Arial" w:hAnsi="Arial" w:cs="Arial"/>
          <w:b/>
          <w:bCs/>
          <w:sz w:val="32"/>
          <w:szCs w:val="32"/>
        </w:rPr>
        <w:t xml:space="preserve"> </w:t>
      </w:r>
    </w:p>
    <w:p w14:paraId="17563CFD" w14:textId="3A68EEE7" w:rsidR="002C43CB" w:rsidRDefault="002C43CB"/>
    <w:p w14:paraId="214BFC4D" w14:textId="77777777" w:rsidR="00415215" w:rsidRDefault="00415215" w:rsidP="0056051F">
      <w:pPr>
        <w:rPr>
          <w:rFonts w:ascii="Arial" w:hAnsi="Arial" w:cs="Arial"/>
          <w:b/>
          <w:bCs/>
          <w:color w:val="00845A"/>
          <w:sz w:val="32"/>
          <w:szCs w:val="32"/>
        </w:rPr>
      </w:pPr>
    </w:p>
    <w:p w14:paraId="732B82A6" w14:textId="3DD7F7D8" w:rsidR="0056051F" w:rsidRPr="0056051F" w:rsidRDefault="0056051F" w:rsidP="0056051F">
      <w:pPr>
        <w:rPr>
          <w:rFonts w:ascii="Arial" w:hAnsi="Arial" w:cs="Arial"/>
          <w:b/>
          <w:bCs/>
          <w:color w:val="00845A"/>
          <w:sz w:val="32"/>
          <w:szCs w:val="32"/>
        </w:rPr>
      </w:pPr>
      <w:r w:rsidRPr="0056051F">
        <w:rPr>
          <w:rFonts w:ascii="Arial" w:hAnsi="Arial" w:cs="Arial"/>
          <w:b/>
          <w:bCs/>
          <w:color w:val="00845A"/>
          <w:sz w:val="32"/>
          <w:szCs w:val="32"/>
        </w:rPr>
        <w:t>Council Endorses Revised Operational Model for Rylington Park</w:t>
      </w:r>
    </w:p>
    <w:p w14:paraId="67400FB7" w14:textId="77777777" w:rsidR="0056051F" w:rsidRDefault="0056051F" w:rsidP="0056051F">
      <w:pPr>
        <w:rPr>
          <w:rFonts w:ascii="Arial" w:hAnsi="Arial" w:cs="Arial"/>
        </w:rPr>
      </w:pPr>
    </w:p>
    <w:p w14:paraId="4BB019BB" w14:textId="77777777" w:rsidR="00415215" w:rsidRPr="0056051F" w:rsidRDefault="00415215" w:rsidP="0056051F">
      <w:pPr>
        <w:rPr>
          <w:rFonts w:ascii="Arial" w:hAnsi="Arial" w:cs="Arial"/>
        </w:rPr>
      </w:pPr>
    </w:p>
    <w:p w14:paraId="1FA7D199" w14:textId="77777777" w:rsidR="0056051F" w:rsidRPr="0056051F" w:rsidRDefault="0056051F" w:rsidP="0056051F">
      <w:pPr>
        <w:rPr>
          <w:rFonts w:ascii="Arial" w:hAnsi="Arial" w:cs="Arial"/>
        </w:rPr>
      </w:pPr>
      <w:r w:rsidRPr="0056051F">
        <w:rPr>
          <w:rFonts w:ascii="Arial" w:hAnsi="Arial" w:cs="Arial"/>
        </w:rPr>
        <w:t>At its Ordinary Council Meeting held on 26 February 2026, the Shire of Boyup Brook Council resolved to adopt a revised leasing-based operational model for Rylington Park.</w:t>
      </w:r>
    </w:p>
    <w:p w14:paraId="0420A690" w14:textId="77777777" w:rsidR="0056051F" w:rsidRPr="0056051F" w:rsidRDefault="0056051F" w:rsidP="0056051F">
      <w:pPr>
        <w:rPr>
          <w:rFonts w:ascii="Arial" w:hAnsi="Arial" w:cs="Arial"/>
        </w:rPr>
      </w:pPr>
    </w:p>
    <w:p w14:paraId="73A29CD4" w14:textId="77777777" w:rsidR="0056051F" w:rsidRPr="0056051F" w:rsidRDefault="0056051F" w:rsidP="0056051F">
      <w:pPr>
        <w:rPr>
          <w:rFonts w:ascii="Arial" w:hAnsi="Arial" w:cs="Arial"/>
        </w:rPr>
      </w:pPr>
      <w:r w:rsidRPr="0056051F">
        <w:rPr>
          <w:rFonts w:ascii="Arial" w:hAnsi="Arial" w:cs="Arial"/>
        </w:rPr>
        <w:t>The decision follows consideration of a recommendation from the Rylington Park Committee after review of a number of possible future operating models for the property. As part of the adopted approach, Council resolved to move toward leasing the farm component through an open market process, while retaining certain infrastructure under Shire control and preserving arrangements that continue to support community benefit and agricultural research outcomes. Council also resolved that proceeds from the sale of machinery, produce and livestock be quarantined in a reserve account to allow for the possible reinstatement of farming operations in the future, should a future Council determine that course is appropriate.</w:t>
      </w:r>
    </w:p>
    <w:p w14:paraId="40676BE6" w14:textId="77777777" w:rsidR="0056051F" w:rsidRPr="0056051F" w:rsidRDefault="0056051F" w:rsidP="0056051F">
      <w:pPr>
        <w:rPr>
          <w:rFonts w:ascii="Arial" w:hAnsi="Arial" w:cs="Arial"/>
        </w:rPr>
      </w:pPr>
    </w:p>
    <w:p w14:paraId="5AA32C32" w14:textId="77777777" w:rsidR="0056051F" w:rsidRPr="0056051F" w:rsidRDefault="0056051F" w:rsidP="0056051F">
      <w:pPr>
        <w:rPr>
          <w:rFonts w:ascii="Arial" w:hAnsi="Arial" w:cs="Arial"/>
        </w:rPr>
      </w:pPr>
      <w:r w:rsidRPr="0056051F">
        <w:rPr>
          <w:rFonts w:ascii="Arial" w:hAnsi="Arial" w:cs="Arial"/>
        </w:rPr>
        <w:t>The resolution was made following assessment of the changing agricultural environment and the financial performance of the farm in recent years. In its report to Council, the key reasons for the change were identified as ensuring compliance with the Local Government Act 1995, providing long-term financial sustainability, reducing financial risk exposure to ratepayers, honouring the wishes of the late Mr Eric Farleigh, and maintaining provision for community benefit and agricultural research.</w:t>
      </w:r>
    </w:p>
    <w:p w14:paraId="40E36B9B" w14:textId="77777777" w:rsidR="0056051F" w:rsidRPr="0056051F" w:rsidRDefault="0056051F" w:rsidP="0056051F">
      <w:pPr>
        <w:rPr>
          <w:rFonts w:ascii="Arial" w:hAnsi="Arial" w:cs="Arial"/>
        </w:rPr>
      </w:pPr>
    </w:p>
    <w:p w14:paraId="6FA3F34B" w14:textId="77777777" w:rsidR="0056051F" w:rsidRPr="0056051F" w:rsidRDefault="0056051F" w:rsidP="0056051F">
      <w:pPr>
        <w:rPr>
          <w:rFonts w:ascii="Arial" w:hAnsi="Arial" w:cs="Arial"/>
        </w:rPr>
      </w:pPr>
      <w:r w:rsidRPr="0056051F">
        <w:rPr>
          <w:rFonts w:ascii="Arial" w:hAnsi="Arial" w:cs="Arial"/>
        </w:rPr>
        <w:t>Council also noted that Edith Cowan University had been consulted during the process and was supportive of the proposed model, which will still allow ECU to undertake digital farming trials at Rylington Park.</w:t>
      </w:r>
    </w:p>
    <w:p w14:paraId="7FB98A37" w14:textId="77777777" w:rsidR="0056051F" w:rsidRPr="0056051F" w:rsidRDefault="0056051F" w:rsidP="0056051F">
      <w:pPr>
        <w:rPr>
          <w:rFonts w:ascii="Arial" w:hAnsi="Arial" w:cs="Arial"/>
        </w:rPr>
      </w:pPr>
    </w:p>
    <w:p w14:paraId="0BF8577F" w14:textId="77777777" w:rsidR="0056051F" w:rsidRPr="0056051F" w:rsidRDefault="0056051F" w:rsidP="0056051F">
      <w:pPr>
        <w:rPr>
          <w:rFonts w:ascii="Arial" w:hAnsi="Arial" w:cs="Arial"/>
        </w:rPr>
      </w:pPr>
      <w:r w:rsidRPr="0056051F">
        <w:rPr>
          <w:rFonts w:ascii="Arial" w:hAnsi="Arial" w:cs="Arial"/>
        </w:rPr>
        <w:t>The Shire acknowledges that Rylington Park is an important community asset with a unique history and purpose. For that reason, the Shire is currently seeking legal advice on the most appropriate method for calling for lease proposals, to ensure the process is undertaken properly, fairly and transparently.</w:t>
      </w:r>
    </w:p>
    <w:p w14:paraId="51414BD2" w14:textId="77777777" w:rsidR="0056051F" w:rsidRPr="0056051F" w:rsidRDefault="0056051F" w:rsidP="0056051F">
      <w:pPr>
        <w:rPr>
          <w:rFonts w:ascii="Arial" w:hAnsi="Arial" w:cs="Arial"/>
        </w:rPr>
      </w:pPr>
    </w:p>
    <w:p w14:paraId="3AAE3687" w14:textId="74911397" w:rsidR="009A35A6" w:rsidRDefault="0056051F" w:rsidP="0056051F">
      <w:pPr>
        <w:rPr>
          <w:rFonts w:ascii="Arial" w:hAnsi="Arial" w:cs="Arial"/>
        </w:rPr>
      </w:pPr>
      <w:r w:rsidRPr="0056051F">
        <w:rPr>
          <w:rFonts w:ascii="Arial" w:hAnsi="Arial" w:cs="Arial"/>
        </w:rPr>
        <w:t>Further information will be provided to the community as this process progresses</w:t>
      </w:r>
      <w:r w:rsidR="004311C9">
        <w:rPr>
          <w:rFonts w:ascii="Arial" w:hAnsi="Arial" w:cs="Arial"/>
        </w:rPr>
        <w:t>.</w:t>
      </w:r>
    </w:p>
    <w:p w14:paraId="0F3CF48B" w14:textId="77777777" w:rsidR="004311C9" w:rsidRDefault="004311C9" w:rsidP="0056051F">
      <w:pPr>
        <w:rPr>
          <w:rFonts w:ascii="Arial" w:hAnsi="Arial" w:cs="Arial"/>
        </w:rPr>
      </w:pPr>
    </w:p>
    <w:p w14:paraId="0777BB84" w14:textId="77777777" w:rsidR="00C65417" w:rsidRDefault="00C65417" w:rsidP="0056051F">
      <w:pPr>
        <w:rPr>
          <w:rFonts w:ascii="Arial" w:hAnsi="Arial" w:cs="Arial"/>
        </w:rPr>
      </w:pPr>
    </w:p>
    <w:p w14:paraId="4EB95AFE" w14:textId="68615C9E" w:rsidR="004311C9" w:rsidRDefault="001775AD" w:rsidP="0056051F">
      <w:pPr>
        <w:rPr>
          <w:rFonts w:ascii="Arial" w:hAnsi="Arial" w:cs="Arial"/>
        </w:rPr>
      </w:pPr>
      <w:r>
        <w:rPr>
          <w:rFonts w:ascii="Arial" w:hAnsi="Arial" w:cs="Arial"/>
        </w:rPr>
        <w:t>Cr Helen O’Connell</w:t>
      </w:r>
    </w:p>
    <w:p w14:paraId="60AA8FD3" w14:textId="6C87E649" w:rsidR="001775AD" w:rsidRDefault="001775AD" w:rsidP="0056051F">
      <w:pPr>
        <w:rPr>
          <w:rFonts w:ascii="Arial" w:hAnsi="Arial" w:cs="Arial"/>
        </w:rPr>
      </w:pPr>
      <w:r>
        <w:rPr>
          <w:rFonts w:ascii="Arial" w:hAnsi="Arial" w:cs="Arial"/>
        </w:rPr>
        <w:t>Shire President</w:t>
      </w:r>
    </w:p>
    <w:p w14:paraId="75C63BB6" w14:textId="77777777" w:rsidR="004311C9" w:rsidRDefault="004311C9" w:rsidP="0056051F">
      <w:pPr>
        <w:rPr>
          <w:rFonts w:ascii="Arial" w:hAnsi="Arial" w:cs="Arial"/>
        </w:rPr>
      </w:pPr>
    </w:p>
    <w:p w14:paraId="4B4351AC" w14:textId="5D4A0CE9" w:rsidR="004311C9" w:rsidRDefault="004311C9" w:rsidP="0056051F">
      <w:pPr>
        <w:rPr>
          <w:rFonts w:ascii="Arial" w:hAnsi="Arial" w:cs="Arial"/>
        </w:rPr>
      </w:pPr>
      <w:r>
        <w:rPr>
          <w:rFonts w:ascii="Arial" w:hAnsi="Arial" w:cs="Arial"/>
        </w:rPr>
        <w:t>25 March 2026</w:t>
      </w:r>
    </w:p>
    <w:p w14:paraId="566C37EA" w14:textId="77777777" w:rsidR="00C65417" w:rsidRPr="0042192D" w:rsidRDefault="00C65417" w:rsidP="0056051F">
      <w:pPr>
        <w:rPr>
          <w:rFonts w:ascii="Arial" w:hAnsi="Arial" w:cs="Arial"/>
        </w:rPr>
      </w:pPr>
    </w:p>
    <w:sectPr w:rsidR="00C65417" w:rsidRPr="0042192D" w:rsidSect="00DD4731">
      <w:footerReference w:type="default" r:id="rId10"/>
      <w:pgSz w:w="11906" w:h="16838"/>
      <w:pgMar w:top="709"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C275" w14:textId="77777777" w:rsidR="00B03DC3" w:rsidRDefault="00B03DC3" w:rsidP="00B110FF">
      <w:r>
        <w:separator/>
      </w:r>
    </w:p>
  </w:endnote>
  <w:endnote w:type="continuationSeparator" w:id="0">
    <w:p w14:paraId="76FC6F3F" w14:textId="77777777" w:rsidR="00B03DC3" w:rsidRDefault="00B03DC3" w:rsidP="00B1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075D" w14:textId="26FD2276" w:rsidR="004311C9" w:rsidRDefault="004311C9">
    <w:pPr>
      <w:pStyle w:val="Footer"/>
    </w:pPr>
  </w:p>
  <w:p w14:paraId="5BDF028B" w14:textId="77777777" w:rsidR="00AE76FB" w:rsidRDefault="00AE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21DA" w14:textId="77777777" w:rsidR="00B03DC3" w:rsidRDefault="00B03DC3" w:rsidP="00B110FF">
      <w:r>
        <w:separator/>
      </w:r>
    </w:p>
  </w:footnote>
  <w:footnote w:type="continuationSeparator" w:id="0">
    <w:p w14:paraId="7713409D" w14:textId="77777777" w:rsidR="00B03DC3" w:rsidRDefault="00B03DC3" w:rsidP="00B1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36D5"/>
    <w:multiLevelType w:val="multilevel"/>
    <w:tmpl w:val="9DD8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C1C67"/>
    <w:multiLevelType w:val="multilevel"/>
    <w:tmpl w:val="8C04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4F0574"/>
    <w:multiLevelType w:val="hybridMultilevel"/>
    <w:tmpl w:val="ACCA6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35291B"/>
    <w:multiLevelType w:val="hybridMultilevel"/>
    <w:tmpl w:val="6F30E6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7E8172C4"/>
    <w:multiLevelType w:val="hybridMultilevel"/>
    <w:tmpl w:val="218EA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2835213">
    <w:abstractNumId w:val="2"/>
  </w:num>
  <w:num w:numId="2" w16cid:durableId="1414662367">
    <w:abstractNumId w:val="4"/>
  </w:num>
  <w:num w:numId="3" w16cid:durableId="1010567200">
    <w:abstractNumId w:val="0"/>
  </w:num>
  <w:num w:numId="4" w16cid:durableId="1455978880">
    <w:abstractNumId w:val="3"/>
  </w:num>
  <w:num w:numId="5" w16cid:durableId="103843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3F"/>
    <w:rsid w:val="00012B08"/>
    <w:rsid w:val="00072819"/>
    <w:rsid w:val="000A79EC"/>
    <w:rsid w:val="000F3274"/>
    <w:rsid w:val="00111414"/>
    <w:rsid w:val="001775AD"/>
    <w:rsid w:val="00186449"/>
    <w:rsid w:val="001E0917"/>
    <w:rsid w:val="001E3272"/>
    <w:rsid w:val="001F372C"/>
    <w:rsid w:val="0025701E"/>
    <w:rsid w:val="00274B70"/>
    <w:rsid w:val="002B2144"/>
    <w:rsid w:val="002B32D8"/>
    <w:rsid w:val="002C43CB"/>
    <w:rsid w:val="0039777C"/>
    <w:rsid w:val="003C5421"/>
    <w:rsid w:val="003D1207"/>
    <w:rsid w:val="00415215"/>
    <w:rsid w:val="0042192D"/>
    <w:rsid w:val="004311C9"/>
    <w:rsid w:val="00436CEF"/>
    <w:rsid w:val="00456ED8"/>
    <w:rsid w:val="004B42C1"/>
    <w:rsid w:val="004B676A"/>
    <w:rsid w:val="0056051F"/>
    <w:rsid w:val="0056656D"/>
    <w:rsid w:val="005855E1"/>
    <w:rsid w:val="005F3787"/>
    <w:rsid w:val="00613663"/>
    <w:rsid w:val="0063446E"/>
    <w:rsid w:val="006E24B4"/>
    <w:rsid w:val="00742067"/>
    <w:rsid w:val="008038D0"/>
    <w:rsid w:val="008911F2"/>
    <w:rsid w:val="00894E2A"/>
    <w:rsid w:val="00910F3F"/>
    <w:rsid w:val="009617F1"/>
    <w:rsid w:val="00965FAC"/>
    <w:rsid w:val="00973534"/>
    <w:rsid w:val="009A35A6"/>
    <w:rsid w:val="009A3F19"/>
    <w:rsid w:val="009D3B0C"/>
    <w:rsid w:val="009F39A3"/>
    <w:rsid w:val="00A63D7C"/>
    <w:rsid w:val="00AE76FB"/>
    <w:rsid w:val="00B03DC3"/>
    <w:rsid w:val="00B110FF"/>
    <w:rsid w:val="00BA360D"/>
    <w:rsid w:val="00BB5572"/>
    <w:rsid w:val="00BB7FBF"/>
    <w:rsid w:val="00BD737F"/>
    <w:rsid w:val="00C0449C"/>
    <w:rsid w:val="00C16860"/>
    <w:rsid w:val="00C27AD3"/>
    <w:rsid w:val="00C51AF2"/>
    <w:rsid w:val="00C65417"/>
    <w:rsid w:val="00C94D4A"/>
    <w:rsid w:val="00C96CA3"/>
    <w:rsid w:val="00D027AB"/>
    <w:rsid w:val="00D206F6"/>
    <w:rsid w:val="00D477A1"/>
    <w:rsid w:val="00D6082C"/>
    <w:rsid w:val="00D874CD"/>
    <w:rsid w:val="00DB6C72"/>
    <w:rsid w:val="00DD4731"/>
    <w:rsid w:val="00E06B57"/>
    <w:rsid w:val="00E23615"/>
    <w:rsid w:val="00E27324"/>
    <w:rsid w:val="00E60366"/>
    <w:rsid w:val="00ED6577"/>
    <w:rsid w:val="00F005FD"/>
    <w:rsid w:val="00F12A31"/>
    <w:rsid w:val="00F473B7"/>
    <w:rsid w:val="00F77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D1E99"/>
  <w15:chartTrackingRefBased/>
  <w15:docId w15:val="{97F18E2E-88C0-4795-A438-9D2AE5D5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0F3F"/>
    <w:pPr>
      <w:widowControl w:val="0"/>
      <w:autoSpaceDE w:val="0"/>
      <w:autoSpaceDN w:val="0"/>
      <w:adjustRightInd w:val="0"/>
      <w:spacing w:after="0" w:line="240" w:lineRule="auto"/>
    </w:pPr>
    <w:rPr>
      <w:rFonts w:eastAsiaTheme="minorEastAsia" w:cstheme="minorHAnsi"/>
      <w:sz w:val="24"/>
      <w:szCs w:val="24"/>
    </w:rPr>
  </w:style>
  <w:style w:type="paragraph" w:styleId="Heading1">
    <w:name w:val="heading 1"/>
    <w:basedOn w:val="Normal"/>
    <w:next w:val="Normal"/>
    <w:link w:val="Heading1Char"/>
    <w:uiPriority w:val="9"/>
    <w:qFormat/>
    <w:rsid w:val="000F3274"/>
    <w:pPr>
      <w:keepNext/>
      <w:keepLines/>
      <w:widowControl/>
      <w:autoSpaceDE/>
      <w:autoSpaceDN/>
      <w:adjustRightInd/>
      <w:spacing w:before="360" w:after="80" w:line="259" w:lineRule="auto"/>
      <w:outlineLvl w:val="0"/>
    </w:pPr>
    <w:rPr>
      <w:rFonts w:ascii="Arial" w:eastAsiaTheme="majorEastAsia" w:hAnsi="Arial" w:cstheme="majorBidi"/>
      <w:color w:val="00845A"/>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274"/>
    <w:rPr>
      <w:rFonts w:ascii="Arial" w:eastAsiaTheme="majorEastAsia" w:hAnsi="Arial" w:cstheme="majorBidi"/>
      <w:color w:val="00845A"/>
      <w:sz w:val="40"/>
      <w:szCs w:val="40"/>
    </w:rPr>
  </w:style>
  <w:style w:type="table" w:styleId="TableGrid">
    <w:name w:val="Table Grid"/>
    <w:aliases w:val="Shire Double Green"/>
    <w:basedOn w:val="TableNormal"/>
    <w:uiPriority w:val="39"/>
    <w:rsid w:val="000F3274"/>
    <w:pPr>
      <w:spacing w:after="0" w:line="240" w:lineRule="auto"/>
    </w:pPr>
    <w:rPr>
      <w:rFonts w:ascii="Arial" w:hAnsi="Arial"/>
      <w:kern w:val="2"/>
      <w:sz w:val="24"/>
      <w14:ligatures w14:val="standardContextual"/>
    </w:rPr>
    <w:tblPr>
      <w:tblStyleRowBandSize w:val="1"/>
      <w:tblBorders>
        <w:top w:val="single" w:sz="4" w:space="0" w:color="00845A"/>
        <w:left w:val="single" w:sz="4" w:space="0" w:color="00845A"/>
        <w:bottom w:val="single" w:sz="4" w:space="0" w:color="00845A"/>
        <w:right w:val="single" w:sz="4" w:space="0" w:color="00845A"/>
        <w:insideH w:val="single" w:sz="4" w:space="0" w:color="00845A"/>
        <w:insideV w:val="single" w:sz="4" w:space="0" w:color="00845A"/>
      </w:tblBorders>
    </w:tblPr>
    <w:trPr>
      <w:cantSplit/>
    </w:trPr>
    <w:tblStylePr w:type="firstRow">
      <w:rPr>
        <w:color w:val="F2F2F2" w:themeColor="background1" w:themeShade="F2"/>
      </w:rPr>
      <w:tblPr/>
      <w:tcPr>
        <w:tcBorders>
          <w:top w:val="nil"/>
          <w:left w:val="nil"/>
          <w:bottom w:val="nil"/>
          <w:right w:val="nil"/>
          <w:insideH w:val="nil"/>
          <w:insideV w:val="nil"/>
          <w:tl2br w:val="nil"/>
          <w:tr2bl w:val="nil"/>
        </w:tcBorders>
        <w:shd w:val="clear" w:color="auto" w:fill="00845A"/>
      </w:tcPr>
    </w:tblStylePr>
    <w:tblStylePr w:type="band1Horz">
      <w:tblPr/>
      <w:tcPr>
        <w:tcBorders>
          <w:top w:val="single" w:sz="4" w:space="0" w:color="00845A"/>
          <w:left w:val="single" w:sz="4" w:space="0" w:color="00845A"/>
          <w:bottom w:val="single" w:sz="4" w:space="0" w:color="00845A"/>
          <w:right w:val="single" w:sz="4" w:space="0" w:color="00845A"/>
          <w:insideH w:val="single" w:sz="4" w:space="0" w:color="00845A"/>
          <w:insideV w:val="single" w:sz="4" w:space="0" w:color="00845A"/>
          <w:tl2br w:val="nil"/>
          <w:tr2bl w:val="nil"/>
        </w:tcBorders>
        <w:shd w:val="clear" w:color="auto" w:fill="E5F3EF"/>
      </w:tcPr>
    </w:tblStylePr>
    <w:tblStylePr w:type="band2Horz">
      <w:tblPr/>
      <w:tcPr>
        <w:tcBorders>
          <w:top w:val="single" w:sz="4" w:space="0" w:color="00845A"/>
          <w:left w:val="single" w:sz="4" w:space="0" w:color="00845A"/>
          <w:bottom w:val="single" w:sz="4" w:space="0" w:color="00845A"/>
          <w:right w:val="single" w:sz="4" w:space="0" w:color="00845A"/>
          <w:insideH w:val="single" w:sz="4" w:space="0" w:color="00845A"/>
          <w:insideV w:val="single" w:sz="4" w:space="0" w:color="00845A"/>
          <w:tl2br w:val="nil"/>
          <w:tr2bl w:val="nil"/>
        </w:tcBorders>
        <w:shd w:val="clear" w:color="auto" w:fill="66B59C"/>
      </w:tcPr>
    </w:tblStylePr>
  </w:style>
  <w:style w:type="paragraph" w:styleId="ListParagraph">
    <w:name w:val="List Paragraph"/>
    <w:basedOn w:val="Normal"/>
    <w:uiPriority w:val="34"/>
    <w:qFormat/>
    <w:rsid w:val="00DB6C72"/>
    <w:pPr>
      <w:ind w:left="720"/>
      <w:contextualSpacing/>
    </w:pPr>
  </w:style>
  <w:style w:type="paragraph" w:styleId="Header">
    <w:name w:val="header"/>
    <w:basedOn w:val="Normal"/>
    <w:link w:val="HeaderChar"/>
    <w:uiPriority w:val="99"/>
    <w:unhideWhenUsed/>
    <w:rsid w:val="00B110FF"/>
    <w:pPr>
      <w:tabs>
        <w:tab w:val="center" w:pos="4513"/>
        <w:tab w:val="right" w:pos="9026"/>
      </w:tabs>
    </w:pPr>
  </w:style>
  <w:style w:type="character" w:customStyle="1" w:styleId="HeaderChar">
    <w:name w:val="Header Char"/>
    <w:basedOn w:val="DefaultParagraphFont"/>
    <w:link w:val="Header"/>
    <w:uiPriority w:val="99"/>
    <w:rsid w:val="00B110FF"/>
    <w:rPr>
      <w:rFonts w:eastAsiaTheme="minorEastAsia" w:cstheme="minorHAnsi"/>
      <w:sz w:val="24"/>
      <w:szCs w:val="24"/>
    </w:rPr>
  </w:style>
  <w:style w:type="paragraph" w:styleId="Footer">
    <w:name w:val="footer"/>
    <w:basedOn w:val="Normal"/>
    <w:link w:val="FooterChar"/>
    <w:uiPriority w:val="99"/>
    <w:unhideWhenUsed/>
    <w:rsid w:val="00B110FF"/>
    <w:pPr>
      <w:tabs>
        <w:tab w:val="center" w:pos="4513"/>
        <w:tab w:val="right" w:pos="9026"/>
      </w:tabs>
    </w:pPr>
  </w:style>
  <w:style w:type="character" w:customStyle="1" w:styleId="FooterChar">
    <w:name w:val="Footer Char"/>
    <w:basedOn w:val="DefaultParagraphFont"/>
    <w:link w:val="Footer"/>
    <w:uiPriority w:val="99"/>
    <w:rsid w:val="00B110FF"/>
    <w:rPr>
      <w:rFonts w:eastAsiaTheme="minorEastAsi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Jones</dc:creator>
  <cp:keywords/>
  <dc:description/>
  <cp:lastModifiedBy>Nicki Jones</cp:lastModifiedBy>
  <cp:revision>9</cp:revision>
  <cp:lastPrinted>2025-03-07T03:13:00Z</cp:lastPrinted>
  <dcterms:created xsi:type="dcterms:W3CDTF">2026-03-25T08:47:00Z</dcterms:created>
  <dcterms:modified xsi:type="dcterms:W3CDTF">2026-03-25T08:53:00Z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K632AAF00</vt:lpwstr>
  </property>
</Properties>
</file>